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88" w:rsidRPr="00A64E88" w:rsidRDefault="00A64E88" w:rsidP="00A64E88">
      <w:pPr>
        <w:spacing w:after="0" w:line="240" w:lineRule="auto"/>
        <w:rPr>
          <w:rFonts w:ascii="Times New Roman" w:eastAsia="Times New Roman" w:hAnsi="Times New Roman" w:cs="Times New Roman"/>
          <w:sz w:val="24"/>
          <w:szCs w:val="24"/>
          <w:lang w:eastAsia="tr-TR"/>
        </w:rPr>
      </w:pPr>
      <w:r w:rsidRPr="00A64E88">
        <w:rPr>
          <w:rFonts w:ascii="Arial" w:eastAsia="Times New Roman" w:hAnsi="Arial" w:cs="Arial"/>
          <w:color w:val="1C283D"/>
          <w:sz w:val="11"/>
          <w:szCs w:val="11"/>
          <w:shd w:val="clear" w:color="auto" w:fill="FFFFFF"/>
          <w:lang w:eastAsia="tr-TR"/>
        </w:rPr>
        <w:t>Resmi Gazete Tarihi: 18.05.2006 Resmi Gazete Sayısı: 26172</w:t>
      </w:r>
      <w:r w:rsidRPr="00A64E88">
        <w:rPr>
          <w:rFonts w:ascii="Arial" w:eastAsia="Times New Roman" w:hAnsi="Arial" w:cs="Arial"/>
          <w:color w:val="1C283D"/>
          <w:sz w:val="11"/>
          <w:szCs w:val="11"/>
          <w:lang w:eastAsia="tr-TR"/>
        </w:rPr>
        <w:br/>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TARIM SİGORTALARI UYGULAMA YÖNETMELİĞİ</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 </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BİRİNCİ BÖLÜM</w:t>
      </w:r>
    </w:p>
    <w:p w:rsidR="00A64E88" w:rsidRPr="00A64E88" w:rsidRDefault="00A64E88" w:rsidP="00A64E88">
      <w:pPr>
        <w:shd w:val="clear" w:color="auto" w:fill="FFFFFF"/>
        <w:spacing w:after="0" w:line="240" w:lineRule="atLeast"/>
        <w:jc w:val="center"/>
        <w:outlineLvl w:val="1"/>
        <w:rPr>
          <w:rFonts w:ascii="Times New Roman" w:eastAsia="Times New Roman" w:hAnsi="Times New Roman" w:cs="Times New Roman"/>
          <w:b/>
          <w:bCs/>
          <w:color w:val="1C283D"/>
          <w:sz w:val="36"/>
          <w:szCs w:val="36"/>
          <w:lang w:eastAsia="tr-TR"/>
        </w:rPr>
      </w:pPr>
      <w:r w:rsidRPr="00A64E88">
        <w:rPr>
          <w:rFonts w:ascii="Times New Roman" w:eastAsia="Times New Roman" w:hAnsi="Times New Roman" w:cs="Times New Roman"/>
          <w:b/>
          <w:bCs/>
          <w:color w:val="1C283D"/>
          <w:sz w:val="20"/>
          <w:szCs w:val="20"/>
          <w:lang w:eastAsia="tr-TR"/>
        </w:rPr>
        <w:t>Amaç, Kapsam, Dayanak ve Tanımlar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Amaç</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1 -</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1C283D"/>
          <w:sz w:val="20"/>
          <w:szCs w:val="20"/>
          <w:lang w:eastAsia="tr-TR"/>
        </w:rPr>
        <w:t>(1) Bu Yönetmeliğin amacı,</w:t>
      </w:r>
      <w:r w:rsidRPr="00A64E88">
        <w:rPr>
          <w:rFonts w:ascii="Times New Roman" w:eastAsia="Times New Roman" w:hAnsi="Times New Roman" w:cs="Times New Roman"/>
          <w:color w:val="1C283D"/>
          <w:sz w:val="20"/>
          <w:lang w:eastAsia="tr-TR"/>
        </w:rPr>
        <w:t> 14/6/2005 </w:t>
      </w:r>
      <w:r w:rsidRPr="00A64E88">
        <w:rPr>
          <w:rFonts w:ascii="Times New Roman" w:eastAsia="Times New Roman" w:hAnsi="Times New Roman" w:cs="Times New Roman"/>
          <w:color w:val="1C283D"/>
          <w:sz w:val="20"/>
          <w:szCs w:val="20"/>
          <w:lang w:eastAsia="tr-TR"/>
        </w:rPr>
        <w:t>tarihli ve 5363 sayılı Tarım Sigortaları Kanunu çerçevesinde akdedilecek tarım sigortası sözleşmelerinin tabi olacağı esasların belirlenmesidir.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Kapsam</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2</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1C283D"/>
          <w:sz w:val="20"/>
          <w:szCs w:val="20"/>
          <w:lang w:eastAsia="tr-TR"/>
        </w:rPr>
        <w:t>-</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Bu Yönetmelik, 5363 sayılı Tarım Sigortaları Kanunu kapsamında akdedilecek tarım sigortası sözleşmelerinin tabi olacağı esaslar çerçevesinde, sigorta poliçeleri, tarife ve talimatlar, sigorta ettirenin bilgilendirilmesi ve sözleşmelere ilişkin bilgilerin toplanmasına ilişkin hususları kapsar.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Dayanak</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3 -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Bu Yönetmelik, 5363 sayılı Tarım Sigortaları Kanununun 18 inci maddesine dayanarak hazırlanmıştır.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Tanımlar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4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Bu Yönetmelikte geçen;</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a) Bakan: Hazine Müsteşarlığının bağlı bulunduğu Bakanı,</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b) Havuz: Tarım Sigortaları Havuzunu,</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c)</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000000"/>
          <w:sz w:val="20"/>
          <w:szCs w:val="20"/>
          <w:lang w:eastAsia="tr-TR"/>
        </w:rPr>
        <w:t>Kanun:</w:t>
      </w:r>
      <w:r w:rsidRPr="00A64E88">
        <w:rPr>
          <w:rFonts w:ascii="Times New Roman" w:eastAsia="Times New Roman" w:hAnsi="Times New Roman" w:cs="Times New Roman"/>
          <w:color w:val="000000"/>
          <w:sz w:val="20"/>
          <w:lang w:eastAsia="tr-TR"/>
        </w:rPr>
        <w:t> </w:t>
      </w:r>
      <w:r w:rsidRPr="00A64E88">
        <w:rPr>
          <w:rFonts w:ascii="Times New Roman" w:eastAsia="Times New Roman" w:hAnsi="Times New Roman" w:cs="Times New Roman"/>
          <w:color w:val="1C283D"/>
          <w:sz w:val="20"/>
          <w:lang w:eastAsia="tr-TR"/>
        </w:rPr>
        <w:t>14/6/2005 </w:t>
      </w:r>
      <w:r w:rsidRPr="00A64E88">
        <w:rPr>
          <w:rFonts w:ascii="Times New Roman" w:eastAsia="Times New Roman" w:hAnsi="Times New Roman" w:cs="Times New Roman"/>
          <w:color w:val="1C283D"/>
          <w:sz w:val="20"/>
          <w:szCs w:val="20"/>
          <w:lang w:eastAsia="tr-TR"/>
        </w:rPr>
        <w:t>tarihli ve</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000000"/>
          <w:sz w:val="20"/>
          <w:szCs w:val="20"/>
          <w:lang w:eastAsia="tr-TR"/>
        </w:rPr>
        <w:t>5363 sayılı Tarım Sigortaları Kanununu,</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000000"/>
          <w:sz w:val="20"/>
          <w:szCs w:val="20"/>
          <w:lang w:eastAsia="tr-TR"/>
        </w:rPr>
        <w:t>ç)</w:t>
      </w:r>
      <w:r w:rsidRPr="00A64E88">
        <w:rPr>
          <w:rFonts w:ascii="Times New Roman" w:eastAsia="Times New Roman" w:hAnsi="Times New Roman" w:cs="Times New Roman"/>
          <w:color w:val="000000"/>
          <w:sz w:val="20"/>
          <w:lang w:eastAsia="tr-TR"/>
        </w:rPr>
        <w:t> </w:t>
      </w:r>
      <w:r w:rsidRPr="00A64E88">
        <w:rPr>
          <w:rFonts w:ascii="Times New Roman" w:eastAsia="Times New Roman" w:hAnsi="Times New Roman" w:cs="Times New Roman"/>
          <w:color w:val="1C283D"/>
          <w:sz w:val="20"/>
          <w:szCs w:val="20"/>
          <w:lang w:eastAsia="tr-TR"/>
        </w:rPr>
        <w:t>Kurul: Tarım Sigortaları Havuzu Yönetim Kurulunu,</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d) Müsteşarlık: Hazine Müsteşarlığını,</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e) Sigorta şirketi:</w:t>
      </w:r>
      <w:r w:rsidRPr="00A64E88">
        <w:rPr>
          <w:rFonts w:ascii="Times New Roman" w:eastAsia="Times New Roman" w:hAnsi="Times New Roman" w:cs="Times New Roman"/>
          <w:color w:val="1C283D"/>
          <w:sz w:val="20"/>
          <w:lang w:eastAsia="tr-TR"/>
        </w:rPr>
        <w:t> 21/12/1959 </w:t>
      </w:r>
      <w:r w:rsidRPr="00A64E88">
        <w:rPr>
          <w:rFonts w:ascii="Times New Roman" w:eastAsia="Times New Roman" w:hAnsi="Times New Roman" w:cs="Times New Roman"/>
          <w:color w:val="1C283D"/>
          <w:sz w:val="20"/>
          <w:szCs w:val="20"/>
          <w:lang w:eastAsia="tr-TR"/>
        </w:rPr>
        <w:t>tarihli ve</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000000"/>
          <w:sz w:val="20"/>
          <w:szCs w:val="20"/>
          <w:lang w:eastAsia="tr-TR"/>
        </w:rPr>
        <w:t>7397 sayılı Sigorta Murakabe Kanunu çerçevesinde tarım sigortası branşında faaliyette bulunan ve işletici şirkete ortak olan sigorta şirketlerini,</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f) Şirket: Havuzun işletilmesini üstlenen şirketi, </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g) Tarım sigortaları: 5363 sayılı Tarım Sigortaları Kanununda kapsama alınan sigortaları</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lang w:eastAsia="tr-TR"/>
        </w:rPr>
        <w:t>ifade </w:t>
      </w:r>
      <w:r w:rsidRPr="00A64E88">
        <w:rPr>
          <w:rFonts w:ascii="Times New Roman" w:eastAsia="Times New Roman" w:hAnsi="Times New Roman" w:cs="Times New Roman"/>
          <w:color w:val="1C283D"/>
          <w:sz w:val="20"/>
          <w:szCs w:val="20"/>
          <w:lang w:eastAsia="tr-TR"/>
        </w:rPr>
        <w:t>eder.</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 </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İKİNCİ BÖLÜM</w:t>
      </w:r>
    </w:p>
    <w:p w:rsidR="00A64E88" w:rsidRPr="00A64E88" w:rsidRDefault="00A64E88" w:rsidP="00A64E88">
      <w:pPr>
        <w:shd w:val="clear" w:color="auto" w:fill="FFFFFF"/>
        <w:spacing w:after="0" w:line="240" w:lineRule="atLeast"/>
        <w:jc w:val="center"/>
        <w:outlineLvl w:val="1"/>
        <w:rPr>
          <w:rFonts w:ascii="Times New Roman" w:eastAsia="Times New Roman" w:hAnsi="Times New Roman" w:cs="Times New Roman"/>
          <w:b/>
          <w:bCs/>
          <w:color w:val="1C283D"/>
          <w:sz w:val="36"/>
          <w:szCs w:val="36"/>
          <w:lang w:eastAsia="tr-TR"/>
        </w:rPr>
      </w:pPr>
      <w:r w:rsidRPr="00A64E88">
        <w:rPr>
          <w:rFonts w:ascii="Times New Roman" w:eastAsia="Times New Roman" w:hAnsi="Times New Roman" w:cs="Times New Roman"/>
          <w:b/>
          <w:bCs/>
          <w:color w:val="1C283D"/>
          <w:sz w:val="20"/>
          <w:szCs w:val="20"/>
          <w:lang w:eastAsia="tr-TR"/>
        </w:rPr>
        <w:t>Sigorta Sözleşmelerine İlişkin Hükümler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Poliçe verme yükümlülüğü</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5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Sigorta şirketi sigorta sözleşmesi gereğince, sigorta ettirene, sözleşmede yer alan tarafların haiz olduğu hak ve borçları gösteren bir sigorta poliçesi vermek zorundadır.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(2) Sigorta poliçeleri, Müsteşarlık tarafından onaylanacak genel şartlar ile 7</w:t>
      </w:r>
      <w:r w:rsidRPr="00A64E88">
        <w:rPr>
          <w:rFonts w:ascii="Times New Roman" w:eastAsia="Times New Roman" w:hAnsi="Times New Roman" w:cs="Times New Roman"/>
          <w:color w:val="1C283D"/>
          <w:sz w:val="20"/>
          <w:lang w:eastAsia="tr-TR"/>
        </w:rPr>
        <w:t> nci </w:t>
      </w:r>
      <w:r w:rsidRPr="00A64E88">
        <w:rPr>
          <w:rFonts w:ascii="Times New Roman" w:eastAsia="Times New Roman" w:hAnsi="Times New Roman" w:cs="Times New Roman"/>
          <w:color w:val="1C283D"/>
          <w:sz w:val="20"/>
          <w:szCs w:val="20"/>
          <w:lang w:eastAsia="tr-TR"/>
        </w:rPr>
        <w:t>maddede belirtilen tarife ve talimatlara uygun olarak Havuz tarafından hazırlanır.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(3) Okunaklı bir biçimde basımı yapılacak genel şartlar, poliçeyle birlikte sigorta ettirene verilir.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Sigorta ettirenin bilgilendirilmesi</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6 – (</w:t>
      </w:r>
      <w:r w:rsidRPr="00A64E88">
        <w:rPr>
          <w:rFonts w:ascii="Times New Roman" w:eastAsia="Times New Roman" w:hAnsi="Times New Roman" w:cs="Times New Roman"/>
          <w:b/>
          <w:bCs/>
          <w:color w:val="1C283D"/>
          <w:sz w:val="20"/>
          <w:lang w:eastAsia="tr-TR"/>
        </w:rPr>
        <w:t>Değişik:RG</w:t>
      </w:r>
      <w:r w:rsidRPr="00A64E88">
        <w:rPr>
          <w:rFonts w:ascii="Times New Roman" w:eastAsia="Times New Roman" w:hAnsi="Times New Roman" w:cs="Times New Roman"/>
          <w:b/>
          <w:bCs/>
          <w:color w:val="1C283D"/>
          <w:sz w:val="20"/>
          <w:szCs w:val="20"/>
          <w:lang w:eastAsia="tr-TR"/>
        </w:rPr>
        <w:t>-14/8/2012-28384)</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(1) Sigorta sözleşmelerinin akdedilmesinde, sigortalının bilgilendirilmesi esastır. Sigortalıya yapılacak bilgilendirmede, sigorta sözleşmelerinde bilgilendirmeye ilişkin mevzuat hükümleri uygulanır.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Tarife ve talimatlar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7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Tarım sigortası sözleşmelerinde uygulanacak tarife ve talimatlar, Kurul tarafından hazırlanarak Bakan onayına sunulur.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(2) Tarifede belirlenecek sigorta priminin Kanunun 13 üncü maddesi çerçevesinde Devlet tarafından sağlanacak prim desteği haricinde kalan kısmı ile sigorta sözleşmesine, bedeline veya primine ilişkin olarak mevcut veya ileride konulabilecek vergi ve diğer yükümlülükler sigorta ettiren tarafından ödenir.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(3) Sigorta priminin ikinci fıkra uyarınca sigorta ettirenin sorumluluğunda bulunan kısmının peşin ödenmesi esastır. Primin taksitle ödenmesi kararlaştırıldığı takdirde, taksit tutarları ve vadeleri poliçeyle birlikte yazılı olarak sigorta ettirene verilir veya poliçeye yazılır.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(4) Tarifede, sigorta şirketinin meydana gelen zararın sigorta bedelinin belirli bir oranını veya miktarını aşmayan kısmını tazmin etmeyeceği şeklinde tenzil-i muafiyet belirlenebilir. Muafiyet oranı, her bir risk için % 25 oranını aşamaz.</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(5)</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b/>
          <w:bCs/>
          <w:color w:val="1C283D"/>
          <w:sz w:val="20"/>
          <w:szCs w:val="20"/>
          <w:lang w:eastAsia="tr-TR"/>
        </w:rPr>
        <w:t>(</w:t>
      </w:r>
      <w:r w:rsidRPr="00A64E88">
        <w:rPr>
          <w:rFonts w:ascii="Times New Roman" w:eastAsia="Times New Roman" w:hAnsi="Times New Roman" w:cs="Times New Roman"/>
          <w:b/>
          <w:bCs/>
          <w:color w:val="1C283D"/>
          <w:sz w:val="20"/>
          <w:lang w:eastAsia="tr-TR"/>
        </w:rPr>
        <w:t>Değişik:RG</w:t>
      </w:r>
      <w:r w:rsidRPr="00A64E88">
        <w:rPr>
          <w:rFonts w:ascii="Times New Roman" w:eastAsia="Times New Roman" w:hAnsi="Times New Roman" w:cs="Times New Roman"/>
          <w:b/>
          <w:bCs/>
          <w:color w:val="1C283D"/>
          <w:sz w:val="20"/>
          <w:szCs w:val="20"/>
          <w:lang w:eastAsia="tr-TR"/>
        </w:rPr>
        <w:t>-16/3/2010-27523)</w:t>
      </w:r>
      <w:r w:rsidRPr="00A64E88">
        <w:rPr>
          <w:rFonts w:ascii="Times New Roman" w:eastAsia="Times New Roman" w:hAnsi="Times New Roman" w:cs="Times New Roman"/>
          <w:b/>
          <w:bCs/>
          <w:color w:val="1C283D"/>
          <w:sz w:val="20"/>
          <w:szCs w:val="20"/>
          <w:vertAlign w:val="superscript"/>
          <w:lang w:eastAsia="tr-TR"/>
        </w:rPr>
        <w:t>(1)</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1C283D"/>
          <w:sz w:val="20"/>
          <w:szCs w:val="20"/>
          <w:lang w:eastAsia="tr-TR"/>
        </w:rPr>
        <w:t>Dördüncü fıkrada belirtilen muafiyetin yanı sıra, sigorta ettirenin üzerinde kalacak kısım %50’yi geçmemek kaydıyla, müşterek sigorta yapılabilir</w:t>
      </w:r>
      <w:r w:rsidRPr="00A64E88">
        <w:rPr>
          <w:rFonts w:ascii="Times New Roman" w:eastAsia="Times New Roman" w:hAnsi="Times New Roman" w:cs="Times New Roman"/>
          <w:color w:val="1C283D"/>
          <w:sz w:val="20"/>
          <w:lang w:eastAsia="tr-TR"/>
        </w:rPr>
        <w:t>.</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(6) Muafiyet ve müşterek sigorta oranları poliçede belirtilir.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Merkezi veri tabanı</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lastRenderedPageBreak/>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8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Havuz nezdinde, tarım sigortaları ile ilgili poliçe,</w:t>
      </w:r>
      <w:r w:rsidRPr="00A64E88">
        <w:rPr>
          <w:rFonts w:ascii="Times New Roman" w:eastAsia="Times New Roman" w:hAnsi="Times New Roman" w:cs="Times New Roman"/>
          <w:color w:val="1C283D"/>
          <w:sz w:val="20"/>
          <w:lang w:eastAsia="tr-TR"/>
        </w:rPr>
        <w:t> ekspertiz </w:t>
      </w:r>
      <w:r w:rsidRPr="00A64E88">
        <w:rPr>
          <w:rFonts w:ascii="Times New Roman" w:eastAsia="Times New Roman" w:hAnsi="Times New Roman" w:cs="Times New Roman"/>
          <w:color w:val="1C283D"/>
          <w:sz w:val="20"/>
          <w:szCs w:val="20"/>
          <w:lang w:eastAsia="tr-TR"/>
        </w:rPr>
        <w:t>ve hasar bilgilerinin toplanarak; yerleşim birimleri, teminat verilen riskler ve teminat türüne göre hasar bilgilerinin sorgulanmasına ve raporlanmasına imkan sağlaması, denetim ve gözetime esas veri hazırlanması amacıyla bir merkezi veri tabanı oluşturulur.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(2) Merkezi veri tabanını oluşturan bilgi, yazılım ve donanımın sahipliği ve her türlü hakkı Havuza aittir. Bu bilgilerden kendilerine ait olanlar ile genel istatistiki nitelikte olanlara; sigorta şirketi, acenteler ve Havuz</w:t>
      </w:r>
      <w:r w:rsidRPr="00A64E88">
        <w:rPr>
          <w:rFonts w:ascii="Times New Roman" w:eastAsia="Times New Roman" w:hAnsi="Times New Roman" w:cs="Times New Roman"/>
          <w:color w:val="1C283D"/>
          <w:sz w:val="20"/>
          <w:lang w:eastAsia="tr-TR"/>
        </w:rPr>
        <w:t> eksperlerinin </w:t>
      </w:r>
      <w:r w:rsidRPr="00A64E88">
        <w:rPr>
          <w:rFonts w:ascii="Times New Roman" w:eastAsia="Times New Roman" w:hAnsi="Times New Roman" w:cs="Times New Roman"/>
          <w:color w:val="1C283D"/>
          <w:sz w:val="20"/>
          <w:szCs w:val="20"/>
          <w:lang w:eastAsia="tr-TR"/>
        </w:rPr>
        <w:t>erişim hakkı saklıdır.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(3) Merkezi veri tabanının günlük iş ve işlemlerinin yürütülmesinden Şirket sorumludur. Bu amaçla Şirket yeteri kadar programcı ve diğer teknik personel istihdam eder. Merkezi veri tabanındaki bilgilere erişim hakkı bulunanlar ve teknik personel, genel nitelikli bilgiler ile kamuoyuna açıklanmasında sakınca görülmeyenler haricindeki bilgileri başkalarına veremez ve açıklayamaz.</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(4) Sigorta şirketi, Kanun kapsamında akdettiği sözleşmelere ilişkin bilgileri, sözleşmenin akdedildiği günü takip eden gün sonuna kadar merkezi veri tabanına aktarır.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(5)</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b/>
          <w:bCs/>
          <w:color w:val="1C283D"/>
          <w:sz w:val="20"/>
          <w:szCs w:val="20"/>
          <w:lang w:eastAsia="tr-TR"/>
        </w:rPr>
        <w:t>(Değişik: RG-</w:t>
      </w:r>
      <w:r w:rsidRPr="00A64E88">
        <w:rPr>
          <w:rFonts w:ascii="Times New Roman" w:eastAsia="Times New Roman" w:hAnsi="Times New Roman" w:cs="Times New Roman"/>
          <w:b/>
          <w:bCs/>
          <w:color w:val="1C283D"/>
          <w:sz w:val="20"/>
          <w:lang w:eastAsia="tr-TR"/>
        </w:rPr>
        <w:t>22/09/2006</w:t>
      </w:r>
      <w:r w:rsidRPr="00A64E88">
        <w:rPr>
          <w:rFonts w:ascii="Times New Roman" w:eastAsia="Times New Roman" w:hAnsi="Times New Roman" w:cs="Times New Roman"/>
          <w:b/>
          <w:bCs/>
          <w:color w:val="1C283D"/>
          <w:sz w:val="20"/>
          <w:szCs w:val="20"/>
          <w:lang w:eastAsia="tr-TR"/>
        </w:rPr>
        <w:t>-26297)</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1C283D"/>
          <w:sz w:val="20"/>
          <w:szCs w:val="20"/>
          <w:lang w:eastAsia="tr-TR"/>
        </w:rPr>
        <w:t>Hasar ihbarları ve tazminat ödemelerine ilişkin bilgiler, hasar ihbarının veya tazminat ödemesinin yapıldığı günü takip eden gün sonuna kadar merkezi veri tabanına aktarılır.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(6) Merkezi veri tabanında toplanan bilgiler aylık olarak, en geç bir sonraki ay sonuna kadar Kurul tarafından Müsteşarlığa bildirilir.</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 </w:t>
      </w:r>
    </w:p>
    <w:p w:rsidR="00A64E88" w:rsidRPr="00A64E88" w:rsidRDefault="00A64E88" w:rsidP="00A64E8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ÜÇÜNCÜ BÖLÜM</w:t>
      </w:r>
    </w:p>
    <w:p w:rsidR="00A64E88" w:rsidRPr="00A64E88" w:rsidRDefault="00A64E88" w:rsidP="00A64E88">
      <w:pPr>
        <w:shd w:val="clear" w:color="auto" w:fill="FFFFFF"/>
        <w:spacing w:after="0" w:line="240" w:lineRule="atLeast"/>
        <w:jc w:val="center"/>
        <w:outlineLvl w:val="1"/>
        <w:rPr>
          <w:rFonts w:ascii="Times New Roman" w:eastAsia="Times New Roman" w:hAnsi="Times New Roman" w:cs="Times New Roman"/>
          <w:b/>
          <w:bCs/>
          <w:color w:val="1C283D"/>
          <w:sz w:val="36"/>
          <w:szCs w:val="36"/>
          <w:lang w:eastAsia="tr-TR"/>
        </w:rPr>
      </w:pPr>
      <w:r w:rsidRPr="00A64E88">
        <w:rPr>
          <w:rFonts w:ascii="Times New Roman" w:eastAsia="Times New Roman" w:hAnsi="Times New Roman" w:cs="Times New Roman"/>
          <w:b/>
          <w:bCs/>
          <w:color w:val="1C283D"/>
          <w:sz w:val="20"/>
          <w:szCs w:val="20"/>
          <w:lang w:eastAsia="tr-TR"/>
        </w:rPr>
        <w:t>Çeşitli ve Son Hükümler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Yürürlükten kaldırılan yönetmelik</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MADDE 9 -</w:t>
      </w:r>
      <w:r w:rsidRPr="00A64E88">
        <w:rPr>
          <w:rFonts w:ascii="Times New Roman" w:eastAsia="Times New Roman" w:hAnsi="Times New Roman" w:cs="Times New Roman"/>
          <w:color w:val="1C283D"/>
          <w:sz w:val="20"/>
          <w:lang w:eastAsia="tr-TR"/>
        </w:rPr>
        <w:t> </w:t>
      </w:r>
      <w:r w:rsidRPr="00A64E88">
        <w:rPr>
          <w:rFonts w:ascii="Times New Roman" w:eastAsia="Times New Roman" w:hAnsi="Times New Roman" w:cs="Times New Roman"/>
          <w:color w:val="000000"/>
          <w:sz w:val="20"/>
          <w:szCs w:val="20"/>
          <w:lang w:eastAsia="tr-TR"/>
        </w:rPr>
        <w:t>(1)</w:t>
      </w:r>
      <w:r w:rsidRPr="00A64E88">
        <w:rPr>
          <w:rFonts w:ascii="Times New Roman" w:eastAsia="Times New Roman" w:hAnsi="Times New Roman" w:cs="Times New Roman"/>
          <w:color w:val="000000"/>
          <w:sz w:val="20"/>
          <w:lang w:eastAsia="tr-TR"/>
        </w:rPr>
        <w:t> 22/9/2005 </w:t>
      </w:r>
      <w:r w:rsidRPr="00A64E88">
        <w:rPr>
          <w:rFonts w:ascii="Times New Roman" w:eastAsia="Times New Roman" w:hAnsi="Times New Roman" w:cs="Times New Roman"/>
          <w:color w:val="000000"/>
          <w:sz w:val="20"/>
          <w:szCs w:val="20"/>
          <w:lang w:eastAsia="tr-TR"/>
        </w:rPr>
        <w:t>tarihli ve 25944 sayılı Resmi</w:t>
      </w:r>
      <w:r w:rsidRPr="00A64E88">
        <w:rPr>
          <w:rFonts w:ascii="Times New Roman" w:eastAsia="Times New Roman" w:hAnsi="Times New Roman" w:cs="Times New Roman"/>
          <w:color w:val="000000"/>
          <w:sz w:val="20"/>
          <w:lang w:eastAsia="tr-TR"/>
        </w:rPr>
        <w:t> Gazete’de </w:t>
      </w:r>
      <w:r w:rsidRPr="00A64E88">
        <w:rPr>
          <w:rFonts w:ascii="Times New Roman" w:eastAsia="Times New Roman" w:hAnsi="Times New Roman" w:cs="Times New Roman"/>
          <w:color w:val="000000"/>
          <w:sz w:val="20"/>
          <w:szCs w:val="20"/>
          <w:lang w:eastAsia="tr-TR"/>
        </w:rPr>
        <w:t>yayımlanan</w:t>
      </w:r>
      <w:r w:rsidRPr="00A64E88">
        <w:rPr>
          <w:rFonts w:ascii="Times New Roman" w:eastAsia="Times New Roman" w:hAnsi="Times New Roman" w:cs="Times New Roman"/>
          <w:color w:val="000000"/>
          <w:sz w:val="20"/>
          <w:lang w:eastAsia="tr-TR"/>
        </w:rPr>
        <w:t> </w:t>
      </w:r>
      <w:r w:rsidRPr="00A64E88">
        <w:rPr>
          <w:rFonts w:ascii="Times New Roman" w:eastAsia="Times New Roman" w:hAnsi="Times New Roman" w:cs="Times New Roman"/>
          <w:color w:val="1C283D"/>
          <w:sz w:val="20"/>
          <w:szCs w:val="20"/>
          <w:lang w:eastAsia="tr-TR"/>
        </w:rPr>
        <w:t>Tarım Sigortaları Uygulama Yönetmeliği yürürlükten kaldırılmıştır.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Y</w:t>
      </w:r>
      <w:r w:rsidRPr="00A64E88">
        <w:rPr>
          <w:rFonts w:ascii="Times New Roman" w:eastAsia="Times New Roman" w:hAnsi="Times New Roman" w:cs="Times New Roman"/>
          <w:b/>
          <w:bCs/>
          <w:color w:val="1C283D"/>
          <w:sz w:val="20"/>
          <w:szCs w:val="20"/>
          <w:lang w:eastAsia="tr-TR"/>
        </w:rPr>
        <w:t>ürürlük</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10 -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Bu Yönetmelik yayımı tarihinde yürürlüğe girer.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olor w:val="1C283D"/>
          <w:sz w:val="20"/>
          <w:szCs w:val="20"/>
          <w:lang w:eastAsia="tr-TR"/>
        </w:rPr>
        <w:t>Yürütme</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b/>
          <w:bCs/>
          <w:caps/>
          <w:color w:val="1C283D"/>
          <w:sz w:val="20"/>
          <w:szCs w:val="20"/>
          <w:lang w:eastAsia="tr-TR"/>
        </w:rPr>
        <w:t>MADDE</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b/>
          <w:bCs/>
          <w:color w:val="1C283D"/>
          <w:sz w:val="20"/>
          <w:szCs w:val="20"/>
          <w:lang w:eastAsia="tr-TR"/>
        </w:rPr>
        <w:t>11 -</w:t>
      </w:r>
      <w:r w:rsidRPr="00A64E88">
        <w:rPr>
          <w:rFonts w:ascii="Times New Roman" w:eastAsia="Times New Roman" w:hAnsi="Times New Roman" w:cs="Times New Roman"/>
          <w:b/>
          <w:bCs/>
          <w:color w:val="1C283D"/>
          <w:sz w:val="20"/>
          <w:lang w:eastAsia="tr-TR"/>
        </w:rPr>
        <w:t> </w:t>
      </w:r>
      <w:r w:rsidRPr="00A64E88">
        <w:rPr>
          <w:rFonts w:ascii="Times New Roman" w:eastAsia="Times New Roman" w:hAnsi="Times New Roman" w:cs="Times New Roman"/>
          <w:color w:val="1C283D"/>
          <w:sz w:val="20"/>
          <w:szCs w:val="20"/>
          <w:lang w:eastAsia="tr-TR"/>
        </w:rPr>
        <w:t>(1) Bu Yönetmelik hükümlerini Hazine Müsteşarlığının bağlı bulunduğu Bakan yürütür.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 </w:t>
      </w:r>
    </w:p>
    <w:p w:rsidR="00A64E88" w:rsidRPr="00A64E88" w:rsidRDefault="00A64E88" w:rsidP="00A64E88">
      <w:pPr>
        <w:shd w:val="clear" w:color="auto" w:fill="FFFFFF"/>
        <w:spacing w:after="0" w:line="258"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______________</w:t>
      </w:r>
    </w:p>
    <w:p w:rsidR="00A64E88" w:rsidRPr="00A64E88" w:rsidRDefault="00A64E88" w:rsidP="00A64E88">
      <w:pPr>
        <w:shd w:val="clear" w:color="auto" w:fill="FFFFFF"/>
        <w:spacing w:after="0" w:line="258"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i/>
          <w:iCs/>
          <w:color w:val="1C283D"/>
          <w:sz w:val="20"/>
          <w:szCs w:val="20"/>
          <w:vertAlign w:val="superscript"/>
          <w:lang w:eastAsia="tr-TR"/>
        </w:rPr>
        <w:t>(1)</w:t>
      </w:r>
      <w:r w:rsidRPr="00A64E88">
        <w:rPr>
          <w:rFonts w:ascii="Times New Roman" w:eastAsia="Times New Roman" w:hAnsi="Times New Roman" w:cs="Times New Roman"/>
          <w:i/>
          <w:iCs/>
          <w:color w:val="1C283D"/>
          <w:sz w:val="20"/>
          <w:lang w:eastAsia="tr-TR"/>
        </w:rPr>
        <w:t> </w:t>
      </w:r>
      <w:r w:rsidRPr="00A64E88">
        <w:rPr>
          <w:rFonts w:ascii="Times New Roman" w:eastAsia="Times New Roman" w:hAnsi="Times New Roman" w:cs="Times New Roman"/>
          <w:i/>
          <w:iCs/>
          <w:color w:val="1C283D"/>
          <w:sz w:val="20"/>
          <w:szCs w:val="20"/>
          <w:lang w:eastAsia="tr-TR"/>
        </w:rPr>
        <w:t>Bu değişiklik</w:t>
      </w:r>
      <w:r w:rsidRPr="00A64E88">
        <w:rPr>
          <w:rFonts w:ascii="Times New Roman" w:eastAsia="Times New Roman" w:hAnsi="Times New Roman" w:cs="Times New Roman"/>
          <w:i/>
          <w:iCs/>
          <w:color w:val="1C283D"/>
          <w:sz w:val="20"/>
          <w:lang w:eastAsia="tr-TR"/>
        </w:rPr>
        <w:t> 1/1/2010 </w:t>
      </w:r>
      <w:r w:rsidRPr="00A64E88">
        <w:rPr>
          <w:rFonts w:ascii="Times New Roman" w:eastAsia="Times New Roman" w:hAnsi="Times New Roman" w:cs="Times New Roman"/>
          <w:i/>
          <w:iCs/>
          <w:color w:val="1C283D"/>
          <w:sz w:val="20"/>
          <w:szCs w:val="20"/>
          <w:lang w:eastAsia="tr-TR"/>
        </w:rPr>
        <w:t>tarihinden itibaren geçerli olmak üzere yayımı tarihinde yürürlüğe girer.</w:t>
      </w:r>
    </w:p>
    <w:p w:rsidR="00A64E88" w:rsidRPr="00A64E88" w:rsidRDefault="00A64E88" w:rsidP="00A64E88">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 </w:t>
      </w:r>
    </w:p>
    <w:p w:rsidR="00A64E88" w:rsidRPr="00A64E88" w:rsidRDefault="00A64E88" w:rsidP="00A64E88">
      <w:pPr>
        <w:shd w:val="clear" w:color="auto" w:fill="FFFFFF"/>
        <w:spacing w:after="0" w:line="215" w:lineRule="atLeast"/>
        <w:rPr>
          <w:rFonts w:ascii="Times New Roman" w:eastAsia="Times New Roman" w:hAnsi="Times New Roman" w:cs="Times New Roman"/>
          <w:color w:val="1C283D"/>
          <w:sz w:val="24"/>
          <w:szCs w:val="24"/>
          <w:lang w:eastAsia="tr-TR"/>
        </w:rPr>
      </w:pPr>
      <w:r w:rsidRPr="00A64E88">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683"/>
        <w:gridCol w:w="3600"/>
        <w:gridCol w:w="3600"/>
      </w:tblGrid>
      <w:tr w:rsidR="00A64E88" w:rsidRPr="00A64E88" w:rsidTr="00A64E88">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4E88" w:rsidRPr="00A64E88" w:rsidRDefault="00A64E88" w:rsidP="00A64E88">
            <w:pPr>
              <w:spacing w:after="0" w:line="240" w:lineRule="auto"/>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Yönetmeliğin Yayımlandığı Resmî Gazete’nin</w:t>
            </w:r>
          </w:p>
        </w:tc>
      </w:tr>
      <w:tr w:rsidR="00A64E88" w:rsidRPr="00A64E88" w:rsidTr="00A64E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4E88" w:rsidRPr="00A64E88" w:rsidRDefault="00A64E88" w:rsidP="00A64E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Sayısı</w:t>
            </w:r>
          </w:p>
        </w:tc>
      </w:tr>
      <w:tr w:rsidR="00A64E88" w:rsidRPr="00A64E88" w:rsidTr="00A64E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4E88" w:rsidRPr="00A64E88" w:rsidRDefault="00A64E88" w:rsidP="00A64E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lang w:eastAsia="tr-TR"/>
              </w:rPr>
              <w:t>18/5/2006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26172</w:t>
            </w:r>
          </w:p>
        </w:tc>
      </w:tr>
      <w:tr w:rsidR="00A64E88" w:rsidRPr="00A64E88" w:rsidTr="00A64E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4E88" w:rsidRPr="00A64E88" w:rsidRDefault="00A64E88" w:rsidP="00A64E8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Yönetmelikte Değişiklik Yapan Yönetmeliklerin Yayımlandığı Resmî Gazetelerin</w:t>
            </w:r>
          </w:p>
        </w:tc>
      </w:tr>
      <w:tr w:rsidR="00A64E88" w:rsidRPr="00A64E88" w:rsidTr="00A64E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64E88" w:rsidRPr="00A64E88" w:rsidRDefault="00A64E88" w:rsidP="00A64E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b/>
                <w:bCs/>
                <w:sz w:val="20"/>
                <w:szCs w:val="20"/>
                <w:lang w:eastAsia="tr-TR"/>
              </w:rPr>
              <w:t>Sayısı</w:t>
            </w:r>
          </w:p>
        </w:tc>
      </w:tr>
      <w:tr w:rsidR="00A64E88" w:rsidRPr="00A64E88" w:rsidTr="00A64E8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E88" w:rsidRPr="00A64E88" w:rsidRDefault="00A64E88" w:rsidP="00A64E88">
            <w:pPr>
              <w:spacing w:after="0" w:line="240" w:lineRule="auto"/>
              <w:ind w:left="397" w:hanging="340"/>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1.</w:t>
            </w:r>
            <w:r w:rsidRPr="00A64E88">
              <w:rPr>
                <w:rFonts w:ascii="Times New Roman" w:eastAsia="Times New Roman" w:hAnsi="Times New Roman" w:cs="Times New Roman"/>
                <w:sz w:val="14"/>
                <w:szCs w:val="14"/>
                <w:lang w:eastAsia="tr-TR"/>
              </w:rPr>
              <w:t>     </w:t>
            </w:r>
            <w:r w:rsidRPr="00A64E88">
              <w:rPr>
                <w:rFonts w:ascii="Times New Roman" w:eastAsia="Times New Roman" w:hAnsi="Times New Roman" w:cs="Times New Roman"/>
                <w:sz w:val="14"/>
                <w:lang w:eastAsia="tr-TR"/>
              </w:rPr>
              <w:t> </w:t>
            </w:r>
            <w:r w:rsidRPr="00A64E88">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lang w:eastAsia="tr-TR"/>
              </w:rPr>
              <w:t>22/9/2006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26297</w:t>
            </w:r>
          </w:p>
        </w:tc>
      </w:tr>
      <w:tr w:rsidR="00A64E88" w:rsidRPr="00A64E88" w:rsidTr="00A64E8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E88" w:rsidRPr="00A64E88" w:rsidRDefault="00A64E88" w:rsidP="00A64E88">
            <w:pPr>
              <w:spacing w:after="0" w:line="240" w:lineRule="auto"/>
              <w:ind w:left="397" w:hanging="340"/>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w:t>
            </w:r>
            <w:r w:rsidRPr="00A64E88">
              <w:rPr>
                <w:rFonts w:ascii="Times New Roman" w:eastAsia="Times New Roman" w:hAnsi="Times New Roman" w:cs="Times New Roman"/>
                <w:sz w:val="14"/>
                <w:szCs w:val="14"/>
                <w:lang w:eastAsia="tr-TR"/>
              </w:rPr>
              <w:t>     </w:t>
            </w:r>
            <w:r w:rsidRPr="00A64E88">
              <w:rPr>
                <w:rFonts w:ascii="Times New Roman" w:eastAsia="Times New Roman" w:hAnsi="Times New Roman" w:cs="Times New Roman"/>
                <w:sz w:val="14"/>
                <w:lang w:eastAsia="tr-TR"/>
              </w:rPr>
              <w:t> </w:t>
            </w:r>
            <w:r w:rsidRPr="00A64E88">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lang w:eastAsia="tr-TR"/>
              </w:rPr>
              <w:t>2/2/2007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26422</w:t>
            </w:r>
          </w:p>
        </w:tc>
      </w:tr>
      <w:tr w:rsidR="00A64E88" w:rsidRPr="00A64E88" w:rsidTr="00A64E8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E88" w:rsidRPr="00A64E88" w:rsidRDefault="00A64E88" w:rsidP="00A64E88">
            <w:pPr>
              <w:spacing w:after="0" w:line="240" w:lineRule="auto"/>
              <w:ind w:left="397" w:hanging="340"/>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3.</w:t>
            </w:r>
            <w:r w:rsidRPr="00A64E88">
              <w:rPr>
                <w:rFonts w:ascii="Times New Roman" w:eastAsia="Times New Roman" w:hAnsi="Times New Roman" w:cs="Times New Roman"/>
                <w:sz w:val="14"/>
                <w:szCs w:val="14"/>
                <w:lang w:eastAsia="tr-TR"/>
              </w:rPr>
              <w:t>     </w:t>
            </w:r>
            <w:r w:rsidRPr="00A64E88">
              <w:rPr>
                <w:rFonts w:ascii="Times New Roman" w:eastAsia="Times New Roman" w:hAnsi="Times New Roman" w:cs="Times New Roman"/>
                <w:sz w:val="14"/>
                <w:lang w:eastAsia="tr-TR"/>
              </w:rPr>
              <w:t> </w:t>
            </w:r>
            <w:r w:rsidRPr="00A64E88">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lang w:eastAsia="tr-TR"/>
              </w:rPr>
              <w:t>16/3/2010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27523</w:t>
            </w:r>
          </w:p>
        </w:tc>
      </w:tr>
      <w:tr w:rsidR="00A64E88" w:rsidRPr="00A64E88" w:rsidTr="00A64E88">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4E88" w:rsidRPr="00A64E88" w:rsidRDefault="00A64E88" w:rsidP="00A64E88">
            <w:pPr>
              <w:spacing w:after="0" w:line="240" w:lineRule="auto"/>
              <w:ind w:left="397" w:hanging="340"/>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4.</w:t>
            </w:r>
            <w:r w:rsidRPr="00A64E88">
              <w:rPr>
                <w:rFonts w:ascii="Times New Roman" w:eastAsia="Times New Roman" w:hAnsi="Times New Roman" w:cs="Times New Roman"/>
                <w:sz w:val="14"/>
                <w:szCs w:val="14"/>
                <w:lang w:eastAsia="tr-TR"/>
              </w:rPr>
              <w:t>     </w:t>
            </w:r>
            <w:r w:rsidRPr="00A64E88">
              <w:rPr>
                <w:rFonts w:ascii="Times New Roman" w:eastAsia="Times New Roman" w:hAnsi="Times New Roman" w:cs="Times New Roman"/>
                <w:sz w:val="14"/>
                <w:lang w:eastAsia="tr-TR"/>
              </w:rPr>
              <w:t> </w:t>
            </w:r>
            <w:r w:rsidRPr="00A64E88">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uto"/>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lang w:eastAsia="tr-TR"/>
              </w:rPr>
              <w:t>14/8/2012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4E88" w:rsidRPr="00A64E88" w:rsidRDefault="00A64E88" w:rsidP="00A64E88">
            <w:pPr>
              <w:spacing w:after="0" w:line="240" w:lineRule="atLeast"/>
              <w:jc w:val="center"/>
              <w:rPr>
                <w:rFonts w:ascii="Times New Roman" w:eastAsia="Times New Roman" w:hAnsi="Times New Roman" w:cs="Times New Roman"/>
                <w:sz w:val="24"/>
                <w:szCs w:val="24"/>
                <w:lang w:eastAsia="tr-TR"/>
              </w:rPr>
            </w:pPr>
            <w:r w:rsidRPr="00A64E88">
              <w:rPr>
                <w:rFonts w:ascii="Times New Roman" w:eastAsia="Times New Roman" w:hAnsi="Times New Roman" w:cs="Times New Roman"/>
                <w:sz w:val="20"/>
                <w:szCs w:val="20"/>
                <w:lang w:eastAsia="tr-TR"/>
              </w:rPr>
              <w:t>28384</w:t>
            </w:r>
          </w:p>
        </w:tc>
      </w:tr>
    </w:tbl>
    <w:p w:rsidR="0006403E" w:rsidRDefault="0006403E"/>
    <w:sectPr w:rsidR="0006403E" w:rsidSect="00064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64E88"/>
    <w:rsid w:val="0006403E"/>
    <w:rsid w:val="00A64E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3E"/>
  </w:style>
  <w:style w:type="paragraph" w:styleId="Balk2">
    <w:name w:val="heading 2"/>
    <w:basedOn w:val="Normal"/>
    <w:link w:val="Balk2Char"/>
    <w:uiPriority w:val="9"/>
    <w:qFormat/>
    <w:rsid w:val="00A64E8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64E8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A64E88"/>
  </w:style>
  <w:style w:type="character" w:customStyle="1" w:styleId="grame">
    <w:name w:val="grame"/>
    <w:basedOn w:val="VarsaylanParagrafYazTipi"/>
    <w:rsid w:val="00A64E88"/>
  </w:style>
  <w:style w:type="character" w:customStyle="1" w:styleId="spelle">
    <w:name w:val="spelle"/>
    <w:basedOn w:val="VarsaylanParagrafYazTipi"/>
    <w:rsid w:val="00A64E88"/>
  </w:style>
  <w:style w:type="character" w:styleId="Gl">
    <w:name w:val="Strong"/>
    <w:basedOn w:val="VarsaylanParagrafYazTipi"/>
    <w:uiPriority w:val="22"/>
    <w:qFormat/>
    <w:rsid w:val="00A64E88"/>
    <w:rPr>
      <w:b/>
      <w:bCs/>
    </w:rPr>
  </w:style>
</w:styles>
</file>

<file path=word/webSettings.xml><?xml version="1.0" encoding="utf-8"?>
<w:webSettings xmlns:r="http://schemas.openxmlformats.org/officeDocument/2006/relationships" xmlns:w="http://schemas.openxmlformats.org/wordprocessingml/2006/main">
  <w:divs>
    <w:div w:id="5624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4909</Characters>
  <Application>Microsoft Office Word</Application>
  <DocSecurity>0</DocSecurity>
  <Lines>40</Lines>
  <Paragraphs>11</Paragraphs>
  <ScaleCrop>false</ScaleCrop>
  <Company>Silentall.Com Team</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2017-03-23T11:30:00Z</dcterms:created>
  <dcterms:modified xsi:type="dcterms:W3CDTF">2017-03-23T11:30:00Z</dcterms:modified>
</cp:coreProperties>
</file>